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6C74" w14:textId="77777777" w:rsidR="00851B8C" w:rsidRPr="00851B8C" w:rsidRDefault="00851B8C" w:rsidP="00851B8C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Rahvatervishoiu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seaduse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muutmise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ja </w:t>
      </w:r>
    </w:p>
    <w:p w14:paraId="4A376566" w14:textId="77777777" w:rsidR="00851B8C" w:rsidRPr="00851B8C" w:rsidRDefault="00851B8C" w:rsidP="00851B8C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sellega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seonduvalt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teiste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seaduste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4A39C9EE" w14:textId="77777777" w:rsidR="00851B8C" w:rsidRPr="00851B8C" w:rsidRDefault="00851B8C" w:rsidP="00851B8C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muutmise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seaduse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eelnõu</w:t>
      </w:r>
      <w:proofErr w:type="spellEnd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seletuskiri</w:t>
      </w:r>
      <w:proofErr w:type="spellEnd"/>
    </w:p>
    <w:p w14:paraId="26047B11" w14:textId="77777777" w:rsidR="00851B8C" w:rsidRPr="00851B8C" w:rsidRDefault="00851B8C" w:rsidP="00851B8C">
      <w:pPr>
        <w:spacing w:after="200" w:line="276" w:lineRule="auto"/>
        <w:ind w:left="720" w:firstLine="720"/>
        <w:jc w:val="right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851B8C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Lisa 2 </w:t>
      </w:r>
    </w:p>
    <w:p w14:paraId="14F1F938" w14:textId="77777777" w:rsidR="00851B8C" w:rsidRPr="00851B8C" w:rsidRDefault="00851B8C" w:rsidP="00851B8C">
      <w:pPr>
        <w:spacing w:after="200" w:line="276" w:lineRule="auto"/>
        <w:jc w:val="right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21F29C1B" w14:textId="77777777" w:rsidR="00851B8C" w:rsidRPr="00851B8C" w:rsidRDefault="00851B8C" w:rsidP="00851B8C">
      <w:pPr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</w:pPr>
      <w:proofErr w:type="spellStart"/>
      <w:r w:rsidRPr="00851B8C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>Väljatöötamiskavatsuse</w:t>
      </w:r>
      <w:proofErr w:type="spellEnd"/>
      <w:r w:rsidRPr="00851B8C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851B8C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>tagasiside</w:t>
      </w:r>
      <w:proofErr w:type="spellEnd"/>
      <w:r w:rsidRPr="00851B8C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851B8C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>kokkuvõte</w:t>
      </w:r>
      <w:proofErr w:type="spellEnd"/>
      <w:r w:rsidRPr="00851B8C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</w:p>
    <w:p w14:paraId="735B8B93" w14:textId="77777777" w:rsidR="00851B8C" w:rsidRPr="00851B8C" w:rsidRDefault="00851B8C" w:rsidP="00851B8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316"/>
      </w:tblGrid>
      <w:tr w:rsidR="00851B8C" w:rsidRPr="00851B8C" w14:paraId="69704349" w14:textId="77777777" w:rsidTr="00110E33">
        <w:tc>
          <w:tcPr>
            <w:tcW w:w="4320" w:type="dxa"/>
          </w:tcPr>
          <w:p w14:paraId="1A068974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PROBLEEM / SOOVITUS</w:t>
            </w:r>
          </w:p>
        </w:tc>
        <w:tc>
          <w:tcPr>
            <w:tcW w:w="4320" w:type="dxa"/>
          </w:tcPr>
          <w:p w14:paraId="07D3F525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VASTUS: </w:t>
            </w:r>
            <w:proofErr w:type="spellStart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kuidas</w:t>
            </w:r>
            <w:proofErr w:type="spellEnd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</w:p>
        </w:tc>
      </w:tr>
      <w:tr w:rsidR="00851B8C" w:rsidRPr="00851B8C" w14:paraId="5E692C50" w14:textId="77777777" w:rsidTr="00110E33">
        <w:tc>
          <w:tcPr>
            <w:tcW w:w="4320" w:type="dxa"/>
          </w:tcPr>
          <w:p w14:paraId="12D2463A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Reformi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eesmärk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ebaselge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sh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ennetuse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tervisedenduse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roll</w:t>
            </w:r>
          </w:p>
        </w:tc>
        <w:tc>
          <w:tcPr>
            <w:tcW w:w="4320" w:type="dxa"/>
          </w:tcPr>
          <w:p w14:paraId="27DCD878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täpsustades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reformi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eesmärk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muuta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abi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osutamise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loogikat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liikuda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reaktiivselt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mudelilt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proaktiivsele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riskipõhisele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lähenemisele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tugevdada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ennetust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tervisedendust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vähendada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väheväärtuslikku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ravi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see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sõnastatud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eesmärkides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meetmetes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4774FD25" w14:textId="77777777" w:rsidTr="00110E33">
        <w:tc>
          <w:tcPr>
            <w:tcW w:w="4320" w:type="dxa"/>
          </w:tcPr>
          <w:p w14:paraId="03D5E629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Kaasamine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olnud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ebapiisav</w:t>
            </w:r>
            <w:proofErr w:type="spellEnd"/>
          </w:p>
        </w:tc>
        <w:tc>
          <w:tcPr>
            <w:tcW w:w="4320" w:type="dxa"/>
          </w:tcPr>
          <w:p w14:paraId="3FEB785A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väljatöötamisse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kaasatud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erinevates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töövormides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kõigis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piirkondades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õdesid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haiglate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erinevate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tasandite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juhte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sotsiaaltöötajaid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KOV-ide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juhte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poliitilisi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esindajaid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spetsialiste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maakondlikke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arendusorganisatsioone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nende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tervisedendajaid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rehabilitatsiooniteenuste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osutajate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esindajaid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Huvigruppide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esindusorganisatsioonidest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kaasatud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peamiselt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Seltsi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Esmatasandi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Tervisekeskuste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Liitu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Haiglate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Liitu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Õdede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Liitu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Linnade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Valdade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Liitu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Puuetega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Inimeste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Koda, Eesti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Sotsiaaltöö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Assotsiatsiooni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Eesti Rehabilitatsiooniasutuste Liitu. M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organisatsioone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hoitud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peamiselt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infoväljas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neile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teki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integratsiooni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esimeses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otseseid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kohustusi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Riigiasutustest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väljatöötamisse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olnud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kaasatud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peamiselt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Tervisekassa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Sotsiaalkindlustusamet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Arengu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Instituut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TEHIK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regionaalministeerium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muid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riigiasutusi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hoitud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peamiselt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infoväljas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neile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teki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integratsiooni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esimeses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otseseid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kohustusi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1FDD03D1" w14:textId="77777777" w:rsidTr="00110E33">
        <w:tc>
          <w:tcPr>
            <w:tcW w:w="4320" w:type="dxa"/>
          </w:tcPr>
          <w:p w14:paraId="6E205638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Uute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struktuuride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(TERVIK,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koostöökogu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)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loomise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vajalikkus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kaheldav</w:t>
            </w:r>
            <w:proofErr w:type="spellEnd"/>
          </w:p>
        </w:tc>
        <w:tc>
          <w:tcPr>
            <w:tcW w:w="4320" w:type="dxa"/>
          </w:tcPr>
          <w:p w14:paraId="6998A41E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TERVIK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kohustuslik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moodustada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koostöökokkulepetel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põhinev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olemas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oleva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juriidilise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isiku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struktuuris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tegutsev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organisatsioon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mitte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asutus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koostöökogu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ole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struktuur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asendab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olemasolevad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erinevates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formatsioonides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tegutsevad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tervisenõukogud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selgelt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formaliseeritud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koostöökoguga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mille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ülesanded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koosseis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roll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täpsustatud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seadusega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020901D3" w14:textId="77777777" w:rsidTr="00110E33">
        <w:tc>
          <w:tcPr>
            <w:tcW w:w="4320" w:type="dxa"/>
          </w:tcPr>
          <w:p w14:paraId="7CE8387F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roll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ebamäärane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võimalik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dubleerimine</w:t>
            </w:r>
            <w:proofErr w:type="spellEnd"/>
          </w:p>
        </w:tc>
        <w:tc>
          <w:tcPr>
            <w:tcW w:w="4320" w:type="dxa"/>
          </w:tcPr>
          <w:p w14:paraId="73CC5C97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määratledes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ülesanded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vastutuse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pädevuse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andmetele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ligipääsu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koostöövormid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piirangud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sh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luues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selgust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dubleeri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sotsiaaltöötaja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tööd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697AB75F" w14:textId="77777777" w:rsidTr="00110E33">
        <w:tc>
          <w:tcPr>
            <w:tcW w:w="4320" w:type="dxa"/>
          </w:tcPr>
          <w:p w14:paraId="2E979D99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Heaoluplaan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dubleerida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olemasolevaid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plaane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suurendada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bürokraatiat</w:t>
            </w:r>
            <w:proofErr w:type="spellEnd"/>
          </w:p>
        </w:tc>
        <w:tc>
          <w:tcPr>
            <w:tcW w:w="4320" w:type="dxa"/>
          </w:tcPr>
          <w:p w14:paraId="0985B4EE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sätestades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heaoluplaan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koondab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info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automaatselt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infosüsteemidest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asenda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raviplaani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juhtumiplaani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loob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ühtse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inimese-keskse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vaate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mis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vähendab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dubleerimist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kuna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kättesaadav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kõigile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inimese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aitamisega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seotud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spetsialistidele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14DE58B3" w14:textId="77777777" w:rsidTr="00110E33">
        <w:tc>
          <w:tcPr>
            <w:tcW w:w="4320" w:type="dxa"/>
          </w:tcPr>
          <w:p w14:paraId="23D99819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Rahastuse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ebapiisavus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Tervisekassa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koormuse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suurenemise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risk</w:t>
            </w:r>
          </w:p>
        </w:tc>
        <w:tc>
          <w:tcPr>
            <w:tcW w:w="4320" w:type="dxa"/>
          </w:tcPr>
          <w:p w14:paraId="6DACAFBA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kirjeldades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selgelt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rahastusallikad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: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koordinatsiooniteenus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rahastatakse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riigieelarvest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(alates 2027)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ravikindlustuse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eelarvest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(alates 2028); TERVIK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rahastatakse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Tervisekassa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kaudu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lisaks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luuakse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tulemuspõhine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rahastus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Tervisekassa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suureneva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halduskoormusega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5BEB8CCB" w14:textId="77777777" w:rsidTr="00110E33">
        <w:tc>
          <w:tcPr>
            <w:tcW w:w="4320" w:type="dxa"/>
          </w:tcPr>
          <w:p w14:paraId="30FD94AF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Ajakava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liiga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kiire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ebarealistlik</w:t>
            </w:r>
            <w:proofErr w:type="spellEnd"/>
          </w:p>
        </w:tc>
        <w:tc>
          <w:tcPr>
            <w:tcW w:w="4320" w:type="dxa"/>
          </w:tcPr>
          <w:p w14:paraId="0B3DC642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rakendades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muudatusi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kahes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851B8C" w:rsidRPr="00851B8C" w14:paraId="53DC2AD0" w14:textId="77777777" w:rsidTr="00110E33">
        <w:tc>
          <w:tcPr>
            <w:tcW w:w="4320" w:type="dxa"/>
          </w:tcPr>
          <w:p w14:paraId="76853823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Mõjuanalüüs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ebapiisav</w:t>
            </w:r>
            <w:proofErr w:type="spellEnd"/>
          </w:p>
        </w:tc>
        <w:tc>
          <w:tcPr>
            <w:tcW w:w="4320" w:type="dxa"/>
          </w:tcPr>
          <w:p w14:paraId="6FC7823C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põhjaliku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mõjuanalüüsi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mis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hõlmab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halduskoormust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rahastust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andmetöötlust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põhiseaduslikkust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regionaalset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mõju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rahvusvahelist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võrdlust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570999CE" w14:textId="77777777" w:rsidTr="00110E33">
        <w:tc>
          <w:tcPr>
            <w:tcW w:w="4320" w:type="dxa"/>
          </w:tcPr>
          <w:p w14:paraId="40634082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Rollid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vastutus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(KOV,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riik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TERVIK)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ebaselged</w:t>
            </w:r>
            <w:proofErr w:type="spellEnd"/>
          </w:p>
        </w:tc>
        <w:tc>
          <w:tcPr>
            <w:tcW w:w="4320" w:type="dxa"/>
          </w:tcPr>
          <w:p w14:paraId="3AAE97FD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täpsustades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KOV, TERVIK-u,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koostöökogu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vastutuse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rollid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volitused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KOV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säilitab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kõik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SHS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kohustused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TERVIK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korraldab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koordineerib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valdkonnaülest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teekonda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0BF6A7F9" w14:textId="77777777" w:rsidTr="00110E33">
        <w:tc>
          <w:tcPr>
            <w:tcW w:w="4320" w:type="dxa"/>
          </w:tcPr>
          <w:p w14:paraId="265E45F6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Regionaalne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ebavõrdsus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suureneda</w:t>
            </w:r>
            <w:proofErr w:type="spellEnd"/>
          </w:p>
        </w:tc>
        <w:tc>
          <w:tcPr>
            <w:tcW w:w="4320" w:type="dxa"/>
          </w:tcPr>
          <w:p w14:paraId="09AEA4D8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võimaldades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100 000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elanikuga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piirkondades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luua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TERVIK-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siseseid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koordineerimispiirkondi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sidudes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teenuste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planeerimise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-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heaoluprofiilidega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vältida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piirkondlikku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ebavõrdsust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3B25FECD" w14:textId="77777777" w:rsidTr="00110E33">
        <w:tc>
          <w:tcPr>
            <w:tcW w:w="4320" w:type="dxa"/>
          </w:tcPr>
          <w:p w14:paraId="1096A319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Infosüsteemide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integreerimine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IT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kulud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ebapiisavalt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hinnatud</w:t>
            </w:r>
            <w:proofErr w:type="spellEnd"/>
          </w:p>
        </w:tc>
        <w:tc>
          <w:tcPr>
            <w:tcW w:w="4320" w:type="dxa"/>
          </w:tcPr>
          <w:p w14:paraId="7DFBACED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täpsustades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etappide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kaupa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arendamist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: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riskitunnus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märkamisleht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heaoluplaan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TIS-is; KOV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ligipääs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TIS-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STAR–TIS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andmevahetus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järgmises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arenguetapis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andmekoosseis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reguleeritakse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määrusega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35EE8AF1" w14:textId="77777777" w:rsidTr="00110E33">
        <w:tc>
          <w:tcPr>
            <w:tcW w:w="4320" w:type="dxa"/>
          </w:tcPr>
          <w:p w14:paraId="3BACDE4E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Andmekaitse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patsiendi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õiguste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tagamine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vajab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täpsustamist</w:t>
            </w:r>
            <w:proofErr w:type="spellEnd"/>
          </w:p>
        </w:tc>
        <w:tc>
          <w:tcPr>
            <w:tcW w:w="4320" w:type="dxa"/>
          </w:tcPr>
          <w:p w14:paraId="71D93C63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sätestades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teenus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põhineb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inimese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nõusolekul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ligipääs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rolli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-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isikupõhine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tugimeeskonda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laiendatakse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ainult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nõusolekul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töötlemine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lõpetatakse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nõusoleku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puudumisel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kogu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ligipääs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logitakse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TIS-is.</w:t>
            </w:r>
          </w:p>
        </w:tc>
      </w:tr>
      <w:tr w:rsidR="00851B8C" w:rsidRPr="00851B8C" w14:paraId="6FD64978" w14:textId="77777777" w:rsidTr="00110E33">
        <w:tc>
          <w:tcPr>
            <w:tcW w:w="4320" w:type="dxa"/>
          </w:tcPr>
          <w:p w14:paraId="1B550576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Oht, et TERVIK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muutub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haiglakeskseks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nõrgestab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esmatasandit</w:t>
            </w:r>
            <w:proofErr w:type="spellEnd"/>
          </w:p>
        </w:tc>
        <w:tc>
          <w:tcPr>
            <w:tcW w:w="4320" w:type="dxa"/>
          </w:tcPr>
          <w:p w14:paraId="27BF4567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TERVIK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koostöövõrgustik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mitte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haigla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juhitav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struktuur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roll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jääb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esmatasandi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keskseks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paiknevad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eelistatult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tervisekeskustes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esindaja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kaasatud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koostöökogusse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TERVIK-u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juhtimisel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tuleb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proportsionaalselt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häält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15862137" w14:textId="77777777" w:rsidTr="00110E33">
        <w:tc>
          <w:tcPr>
            <w:tcW w:w="4320" w:type="dxa"/>
          </w:tcPr>
          <w:p w14:paraId="0ACD849F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Töökoormus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suureneda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perearstidel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KOV-s</w:t>
            </w:r>
          </w:p>
        </w:tc>
        <w:tc>
          <w:tcPr>
            <w:tcW w:w="4320" w:type="dxa"/>
          </w:tcPr>
          <w:p w14:paraId="09657D57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sätestades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terviseteejuht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võtab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valdkonnaülese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koordinatsiooniga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seonduva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koormuse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mis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langes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perearstidele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sotsiaaltöötajatele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dubleerimise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vähendamine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vähendab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koormust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pikemas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perspektiivis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187B04D5" w14:textId="77777777" w:rsidTr="00110E33">
        <w:tc>
          <w:tcPr>
            <w:tcW w:w="4320" w:type="dxa"/>
          </w:tcPr>
          <w:p w14:paraId="55B4EDB5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Teenuste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kättesaadavus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halveneda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ülemineku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ajal</w:t>
            </w:r>
            <w:proofErr w:type="spellEnd"/>
          </w:p>
        </w:tc>
        <w:tc>
          <w:tcPr>
            <w:tcW w:w="4320" w:type="dxa"/>
          </w:tcPr>
          <w:p w14:paraId="19101179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kirjeldades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et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riskipõhine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juhtimine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ühtne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koordinatsioon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aitavad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vältida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teenuste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katkestusi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tagada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järjepidevuse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optimeerida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patsientide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teekonda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teenusteni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SOM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teinud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üleminekut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täiendavalt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toetada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EL 2028-2034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välisvahenditest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09820643" w14:textId="77777777" w:rsidTr="00110E33">
        <w:tc>
          <w:tcPr>
            <w:tcW w:w="4320" w:type="dxa"/>
          </w:tcPr>
          <w:p w14:paraId="427529DC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Haridus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-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tööhõivevaldkonna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vähene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kaasatus</w:t>
            </w:r>
            <w:proofErr w:type="spellEnd"/>
          </w:p>
        </w:tc>
        <w:tc>
          <w:tcPr>
            <w:tcW w:w="4320" w:type="dxa"/>
          </w:tcPr>
          <w:p w14:paraId="23D3A588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Reformi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1.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etapp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keskendub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tervise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sotsiaali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integratsioonile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;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haridus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teised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valdkonnad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lisatakse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järgmistes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etappides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esmased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koostööstruktuurid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toimivad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Haridus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-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tööhõivevaldkonna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kolleege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hoitakse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infoväljas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851B8C" w:rsidRPr="00851B8C" w14:paraId="1C137A08" w14:textId="77777777" w:rsidTr="00110E33">
        <w:tc>
          <w:tcPr>
            <w:tcW w:w="4320" w:type="dxa"/>
          </w:tcPr>
          <w:p w14:paraId="5C36E020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IT-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arenduste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ajakava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ja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kulude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alahindamine</w:t>
            </w:r>
            <w:proofErr w:type="spellEnd"/>
          </w:p>
        </w:tc>
        <w:tc>
          <w:tcPr>
            <w:tcW w:w="4320" w:type="dxa"/>
          </w:tcPr>
          <w:p w14:paraId="404116C6" w14:textId="77777777" w:rsidR="00851B8C" w:rsidRPr="00851B8C" w:rsidRDefault="00851B8C" w:rsidP="00851B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Eelnõus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ettepanekuga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arvestatud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määratledes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tehnilise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arhitektuuri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etapiviisiliseks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arendamiseks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ning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jättes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detailse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andmekoosseisu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määruse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tasandile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mis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võimaldab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arenduste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ajakava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suuremat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paindlikkust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Välisvahenditest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on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taotletud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lisaressurssi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IT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arendustele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 -IV </w:t>
            </w:r>
            <w:proofErr w:type="spellStart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etapis</w:t>
            </w:r>
            <w:proofErr w:type="spellEnd"/>
            <w:r w:rsidRPr="00851B8C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</w:tbl>
    <w:p w14:paraId="68FF8B2F" w14:textId="77777777" w:rsidR="00E3230B" w:rsidRDefault="00E3230B"/>
    <w:sectPr w:rsidR="00E3230B" w:rsidSect="00851B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8C"/>
    <w:rsid w:val="00152068"/>
    <w:rsid w:val="00501568"/>
    <w:rsid w:val="00851B8C"/>
    <w:rsid w:val="00E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5E02"/>
  <w15:chartTrackingRefBased/>
  <w15:docId w15:val="{868B58FE-12ED-4902-A934-5F7BF5EF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5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5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5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5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5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5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5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5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5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5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5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5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51B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51B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51B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51B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51B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51B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5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5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5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5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51B8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51B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51B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5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51B8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5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5642</Characters>
  <Application>Microsoft Office Word</Application>
  <DocSecurity>0</DocSecurity>
  <Lines>188</Lines>
  <Paragraphs>45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Lipping - RTK</dc:creator>
  <cp:keywords/>
  <dc:description/>
  <cp:lastModifiedBy>Reelika Lipping - RTK</cp:lastModifiedBy>
  <cp:revision>1</cp:revision>
  <dcterms:created xsi:type="dcterms:W3CDTF">2026-04-06T11:28:00Z</dcterms:created>
  <dcterms:modified xsi:type="dcterms:W3CDTF">2026-04-06T11:28:00Z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2026-04-06T11:28:47Z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6d5c6255-aa4c-45d4-a857-7372a50d4413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